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0500"/>
      </w:tblGrid>
      <w:tr w:rsidR="00F639FA" w:rsidRPr="00F639FA" w:rsidTr="00F639FA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639FA" w:rsidRPr="00F639FA" w:rsidRDefault="00F639FA" w:rsidP="00F639F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468pt;height:.75pt" o:hralign="center" o:hrstd="t" o:hrnoshade="t" o:hr="t" fillcolor="#a0a0a0" stroked="f"/>
              </w:pict>
            </w:r>
          </w:p>
          <w:tbl>
            <w:tblPr>
              <w:tblW w:w="9750" w:type="dxa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41"/>
              <w:gridCol w:w="7209"/>
            </w:tblGrid>
            <w:tr w:rsidR="00F639FA" w:rsidRPr="00F639FA" w:rsidTr="00F639FA">
              <w:trPr>
                <w:tblCellSpacing w:w="37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9FA" w:rsidRPr="00F639FA" w:rsidRDefault="00F639FA" w:rsidP="00F63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posOffset>0</wp:posOffset>
                        </wp:positionH>
                        <wp:positionV relativeFrom="line">
                          <wp:posOffset>0</wp:posOffset>
                        </wp:positionV>
                        <wp:extent cx="1419225" cy="1905000"/>
                        <wp:effectExtent l="19050" t="0" r="9525" b="0"/>
                        <wp:wrapSquare wrapText="bothSides"/>
                        <wp:docPr id="2" name="Picture 2" descr="February 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ebruary 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9FA" w:rsidRPr="00F639FA" w:rsidRDefault="00F639FA" w:rsidP="00F639F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9FA">
                    <w:rPr>
                      <w:rFonts w:ascii="Times New Roman" w:eastAsia="Times New Roman" w:hAnsi="Times New Roman" w:cs="Times New Roman"/>
                      <w:b/>
                      <w:bCs/>
                      <w:color w:val="DD0000"/>
                      <w:sz w:val="72"/>
                    </w:rPr>
                    <w:t>PAIN</w:t>
                  </w:r>
                  <w:r w:rsidRPr="00F639FA">
                    <w:rPr>
                      <w:rFonts w:ascii="Times New Roman" w:eastAsia="Times New Roman" w:hAnsi="Times New Roman" w:cs="Times New Roman"/>
                      <w:b/>
                      <w:bCs/>
                      <w:color w:val="DD0000"/>
                      <w:sz w:val="72"/>
                      <w:vertAlign w:val="superscript"/>
                    </w:rPr>
                    <w:t>®</w:t>
                  </w:r>
                </w:p>
                <w:p w:rsidR="00F639FA" w:rsidRPr="00F639FA" w:rsidRDefault="00F639FA" w:rsidP="00F639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9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Volume 155, Issue 2, pages 207-438 (February 2014)</w:t>
                  </w:r>
                </w:p>
                <w:p w:rsidR="00F639FA" w:rsidRPr="00F639FA" w:rsidRDefault="00F639FA" w:rsidP="00F639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9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IASP Members:</w:t>
                  </w:r>
                  <w:r w:rsidRPr="00F639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Visit </w:t>
                  </w:r>
                  <w:hyperlink r:id="rId5" w:tgtFrame="_blank" w:history="1">
                    <w:r w:rsidRPr="00F639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www.iasp-pain.org/TPS</w:t>
                    </w:r>
                  </w:hyperlink>
                  <w:r w:rsidRPr="00F639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to read </w:t>
                  </w:r>
                  <w:r w:rsidRPr="00F639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</w:rPr>
                    <w:t>PAIN</w:t>
                  </w:r>
                  <w:r w:rsidRPr="00F639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online.</w:t>
                  </w:r>
                </w:p>
                <w:p w:rsidR="00F639FA" w:rsidRPr="00F639FA" w:rsidRDefault="00F639FA" w:rsidP="00F639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9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If you do not wish to receive future emails listing the Table of Contents for </w:t>
                  </w:r>
                  <w:r w:rsidRPr="00F639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</w:rPr>
                    <w:t>PAIN</w:t>
                  </w:r>
                  <w:r w:rsidRPr="00F639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click on </w:t>
                  </w:r>
                  <w:r w:rsidRPr="00F639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"preferences"</w:t>
                  </w:r>
                  <w:r w:rsidRPr="00F639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at the end of this message to manage your IASP subscriptions.</w:t>
                  </w:r>
                </w:p>
              </w:tc>
            </w:tr>
          </w:tbl>
          <w:p w:rsidR="00F639FA" w:rsidRPr="00F639FA" w:rsidRDefault="00F639FA" w:rsidP="00F639F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6" style="width:468pt;height:1.5pt" o:hralign="center" o:hrstd="t" o:hr="t" fillcolor="gray" stroked="f"/>
              </w:pic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sz w:val="27"/>
              </w:rPr>
              <w:t>Table of Contents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color w:val="DD0000"/>
                <w:sz w:val="24"/>
                <w:szCs w:val="24"/>
              </w:rPr>
              <w:t>Editorial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sz w:val="20"/>
              </w:rPr>
              <w:t xml:space="preserve">Introducing Pain Classics: A special review series for PAIN 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Francis J. Keefe, Jeffrey S.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Mogil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 207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color w:val="DD0000"/>
                <w:sz w:val="24"/>
                <w:szCs w:val="24"/>
              </w:rPr>
              <w:t>Bridging the gaps: Special commentary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sz w:val="20"/>
              </w:rPr>
              <w:t xml:space="preserve">Can we stop pain before it starts? 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Anthony H. Dickenson,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Henrik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Kehlet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208-209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color w:val="DD0000"/>
                <w:sz w:val="24"/>
                <w:szCs w:val="24"/>
              </w:rPr>
              <w:t>Pain classics: Special review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sz w:val="20"/>
              </w:rPr>
              <w:t xml:space="preserve">Constructing and deconstructing the gate theory of pain 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Lorne M.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Mendell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 210-216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color w:val="DD0000"/>
                <w:sz w:val="24"/>
                <w:szCs w:val="24"/>
              </w:rPr>
              <w:t>Topical Review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sz w:val="20"/>
              </w:rPr>
              <w:t xml:space="preserve">Candidate gene approach in genetic epidemiological studies of osteoarthritis-related pain 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Anna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Bratus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Andre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Aeschlimann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Giancarlo Russo,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Haiko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Sprott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 xml:space="preserve">pages 217-221 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color w:val="DD0000"/>
                <w:sz w:val="24"/>
                <w:szCs w:val="24"/>
              </w:rPr>
              <w:t>Research Papers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 xml:space="preserve">Click on the title of the paper to view the abstract. To view full text, first </w:t>
            </w:r>
            <w:hyperlink r:id="rId6" w:tgtFrame="_blank" w:history="1">
              <w:r w:rsidRPr="00F639FA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</w:rPr>
                <w:t>log in at the IASP website</w:t>
              </w:r>
            </w:hyperlink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.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Sensory findings after stimulation of the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thoracolumbar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fascia with hypertonic saline suggest its </w:t>
              </w:r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lastRenderedPageBreak/>
                <w:t xml:space="preserve">contribution to low back pain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Andreas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Schilder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Ulrich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Hoheisel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Walter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Magerl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Justus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Benrath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, Thomas Klein, Rolf-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Detlef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Treede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222-231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Psychological, surgical, and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sociodemographic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predictors of pain outcomes after breast cancer surgery: A population-based cohort study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Julie Bruce, Alison J. Thornton, Rachael Powell, Marie Johnston, Mary Wells, Steven D.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Heys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, Alastair M. Thompson, W. Cairns Smith, W. Alastair Chambers, Neil W. Scott, Recovery Study Group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232-243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Visceral sensitivity correlates with decreased regional gray matter volume in healthy volunteers: A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voxel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-based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morphometry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study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Sigrid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Elsenbruch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Julia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Schmid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Jennifer S.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Kullmann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Joswin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Kattoor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Nina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Theysohn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Michael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Forsting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Vassilios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Kotsis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244-249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Altered rate-dependent depression of the spinal H-reflex as an indicator of spinal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disinhibition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in models of neuropathic pain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>Corinne A.G. Lee-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Kubli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Nigel A.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Calcutt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250-260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Effects of vitamin D on patients with fibromyalgia syndrome: A randomized placebo-controlled trial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Florian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Wepner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Raphael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Scheuer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Birgit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Schuetz-Wieser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Peter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Machacek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Elisabeth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Pieler-Bruha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Heide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S. Cross, Julia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Hahne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, Martin Friedrich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261-268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Characterization of a novel model of chronic migraine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Amynah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A.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Pradhan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Monique L. Smith, Brenna McGuire,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Igal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Tarash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, Christopher J. Evans, Andrew Charles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269-274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Cancer pain is not necessarily correlated with spinal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overexpression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of reactive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glia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markers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Vincent R.R.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Ducourneau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Tiphaine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Dolique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Sabira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Hachem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-Delaunay,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Loïs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S.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Miraucourt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Aurélie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Amadio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Lucie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Blaszczyk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Florian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Jacquot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Jennifer Ly, Laurent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Devoize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Stéphane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H.R.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Oliet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Radhouane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Dallel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Jean-Pierre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Mothet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Frédéric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Nagy,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Valérie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S.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Fénelon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Daniel L.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Voisin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275-291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A multilevel structural equation modeling analysis of vulnerabilities and resilience resources influencing affective adaptation to chronic pain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John A. Sturgeon, Alex J.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Zautra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Anne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Arewasikporn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299-298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A CRPS-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IgG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-transfer-trauma model reproducing inflammatory and positive sensory signs associated with complex regional pain syndrome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Valéria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Tékus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Zsófia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Hajna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Éva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Borbély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Adrienn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Markovics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Teréz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Bagoly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János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Szolcsányi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Victoria Thompson,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Ágnes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Kemény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Zsuzsanna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Helyes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, Andreas Goebel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299-308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Incidence and predictors of neck and widespread pain after motor vehicle collision among US litigants and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nonlitigants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Samuel A. McLean, Jacob C.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Ulirsch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Gary D. Slade, April C.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Soward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Robert A.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Swor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David A. Peak, Jeffrey S. Jones,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Niels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K.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Rathlev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David C. Lee, Robert M.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Domeier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Phyllis L. Hendry,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Andrey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V.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Bortsov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, Eric Bair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pages 309-321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Single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intrathecal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administration of the transcription factor decoy AYX1 prevents acute and chronic pain after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incisional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, inflammatory, or neuropathic injury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Julien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Mamet, Michael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Klukinov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Tony L.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Yaksh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Shelle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A.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Malkmus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Samantha Williams, Scott Harris, Donald C. Manning, Bradley K. Taylor, Renee R. Donahue, Frank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Porreca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Jennifer Y.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Xie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Janice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Oyarzo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Timothy J. Brennan, Alberto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Subieta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William K. Schmidt, David C.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Yeomans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322-333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Increasing optimism abolishes pain-induced impairments in executive task performance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Jantine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J.L.M.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Boselie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Linda M.G.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Vancleef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Tom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Smeets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Madelon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L. Peters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334-340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Persistent post-surgical pain and experimental pain sensitivity in the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Tromsø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study: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Comorbid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pain matters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Aslak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Johansen,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Henrik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Schirmer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Audun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Stubhaug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, Christopher S. Nielsen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341-348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How do people understand their neuropathic pain? A Q-study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>Sally Martin, Clare Daniel, Amanda C. de C. Williams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349-355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Analgesic treatment with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pregabalin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does not prevent persistent pain after peripheral nerve injury in the rat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Fang Yang, John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Whang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William T. Derry, Daniel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Vardeh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Joachim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Scholz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356-366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Sensory profiles of patients with neuropathic pain based on the neuropathic pain symptoms and signs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Roy Freeman, Ralf Baron, Didier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Bouhassira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Javier Cabrera,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Birol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Emir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367-376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Upregulation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of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presynaptic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proteins and protein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kinases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associated with enhanced glutamate release from axonal terminals (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synaptosomes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) of the medial prefrontal cortex in rats with neuropathic pain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Kun-Long Hung, Su-Jane Wang, Ying-Chou Wang,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Tsuey-Ru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Chiang,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Chia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-Chuan Wang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377-387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Higher pain perception and lack of recovery from neuropathic pain in females: A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behavioural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,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immunohistochemical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, and proteomic investigation on sex-related differences in mice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Vacca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Sara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Marinelli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Luisa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Pieroni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Andrea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Urbani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Siro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Luvisetto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Flaminia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Pavone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388-402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Etifoxine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analgesia in experimental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monoarthritis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: A combined action that protects spinal inhibition and limits central inflammatory processes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Maya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Aouad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Vivien Zell, Pierre-Eric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Juif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Adrien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Lacaud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Yannick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Goumon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Pascal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Darbon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Vincent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Lelievre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Pierrick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Poisbeau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403-412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The role of executive functioning in children's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attentional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pain control: An experimental analysis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Katrien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Verhoeven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Bruce Dick, Christopher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Eccleston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Liesbet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Goubert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Geert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Crombez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413-421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Onset of action of a lozenge containing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flurbiprofen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8.75mg: A randomized, double-blind, placebo-controlled trial with a new method for measuring onset of analgesic activity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Bernard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Schachtel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Sue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Aspley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Adrian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Shephard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Timothy Shea, Gary Smith, Kathleen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Sanner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Laurie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Savino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Jeanne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Rezuke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Emily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Schachtel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422-428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The gap junction blocker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carbenoxolone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attenuates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nociceptive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behavior and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medullary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dorsal horn central sensitization induced by partial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infraorbital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nerve </w:t>
              </w:r>
              <w:proofErr w:type="spellStart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>transection</w:t>
              </w:r>
              <w:proofErr w:type="spellEnd"/>
              <w:r w:rsidRPr="00F639F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</w:rPr>
                <w:t xml:space="preserve"> in rats </w:t>
              </w:r>
            </w:hyperlink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Hua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Wang, Ye Cao, Chen-Yu Chiang, Jonathan O.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Dostrovsky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Barry J.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Sessle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429-435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color w:val="DD0000"/>
                <w:sz w:val="24"/>
                <w:szCs w:val="24"/>
              </w:rPr>
              <w:t>Correspondence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sz w:val="20"/>
              </w:rPr>
              <w:t xml:space="preserve">Letter to the Editor 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Miriam Kunz, Stefan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Lautenbacher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 436</w:t>
            </w:r>
          </w:p>
          <w:p w:rsidR="00F639FA" w:rsidRPr="00F639FA" w:rsidRDefault="00F639FA" w:rsidP="00F6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b/>
                <w:bCs/>
                <w:sz w:val="20"/>
              </w:rPr>
              <w:t xml:space="preserve">Response to Letter to the Editor </w:t>
            </w:r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Ron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Kupers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Hocine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Slimani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 xml:space="preserve">, Maurice </w:t>
            </w:r>
            <w:proofErr w:type="spellStart"/>
            <w:r w:rsidRPr="00F639FA">
              <w:rPr>
                <w:rFonts w:ascii="Arial" w:eastAsia="Times New Roman" w:hAnsi="Arial" w:cs="Arial"/>
                <w:sz w:val="20"/>
                <w:szCs w:val="20"/>
              </w:rPr>
              <w:t>Ptito</w:t>
            </w:r>
            <w:proofErr w:type="spellEnd"/>
            <w:r w:rsidRPr="00F639F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39FA">
              <w:rPr>
                <w:rFonts w:ascii="Arial" w:eastAsia="Times New Roman" w:hAnsi="Arial" w:cs="Arial"/>
                <w:i/>
                <w:iCs/>
                <w:sz w:val="20"/>
              </w:rPr>
              <w:t>pages 436-437</w:t>
            </w:r>
          </w:p>
        </w:tc>
      </w:tr>
    </w:tbl>
    <w:p w:rsidR="00F639FA" w:rsidRPr="00F639FA" w:rsidRDefault="00F639FA" w:rsidP="00F63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FA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639FA" w:rsidRPr="00F639FA" w:rsidTr="00F639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39FA" w:rsidRPr="00F639FA" w:rsidRDefault="00F639FA" w:rsidP="00F639FA">
            <w:pPr>
              <w:spacing w:before="75" w:after="100" w:afterAutospacing="1" w:line="240" w:lineRule="auto"/>
              <w:jc w:val="center"/>
              <w:divId w:val="912929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FA">
              <w:rPr>
                <w:rFonts w:ascii="Arial" w:eastAsia="Times New Roman" w:hAnsi="Arial" w:cs="Arial"/>
                <w:sz w:val="17"/>
                <w:szCs w:val="17"/>
              </w:rPr>
              <w:br/>
              <w:t>International Association for the Study of Pain, 1510 H Street NW, Suite 600, Washington DC 20005–1020 USA</w:t>
            </w:r>
            <w:r w:rsidRPr="00F639FA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Tel </w:t>
            </w:r>
            <w:hyperlink r:id="rId29" w:tgtFrame="_blank" w:history="1">
              <w:r w:rsidRPr="00F639FA">
                <w:rPr>
                  <w:rFonts w:ascii="Arial" w:eastAsia="Times New Roman" w:hAnsi="Arial" w:cs="Arial"/>
                  <w:color w:val="0000FF"/>
                  <w:sz w:val="17"/>
                  <w:u w:val="single"/>
                </w:rPr>
                <w:t>+1.202.524.5300</w:t>
              </w:r>
            </w:hyperlink>
            <w:r w:rsidRPr="00F639FA">
              <w:rPr>
                <w:rFonts w:ascii="Arial" w:eastAsia="Times New Roman" w:hAnsi="Arial" w:cs="Arial"/>
                <w:sz w:val="17"/>
                <w:szCs w:val="17"/>
              </w:rPr>
              <w:t xml:space="preserve"> - Fax </w:t>
            </w:r>
            <w:hyperlink r:id="rId30" w:tgtFrame="_blank" w:history="1">
              <w:r w:rsidRPr="00F639FA">
                <w:rPr>
                  <w:rFonts w:ascii="Arial" w:eastAsia="Times New Roman" w:hAnsi="Arial" w:cs="Arial"/>
                  <w:color w:val="0000FF"/>
                  <w:sz w:val="17"/>
                  <w:u w:val="single"/>
                </w:rPr>
                <w:t>+1.202.524.5301</w:t>
              </w:r>
            </w:hyperlink>
            <w:r w:rsidRPr="00F639FA">
              <w:rPr>
                <w:rFonts w:ascii="Arial" w:eastAsia="Times New Roman" w:hAnsi="Arial" w:cs="Arial"/>
                <w:sz w:val="17"/>
                <w:szCs w:val="17"/>
              </w:rPr>
              <w:t xml:space="preserve"> - Email </w:t>
            </w:r>
            <w:hyperlink r:id="rId31" w:tgtFrame="_blank" w:history="1">
              <w:r w:rsidRPr="00F639FA">
                <w:rPr>
                  <w:rFonts w:ascii="Arial" w:eastAsia="Times New Roman" w:hAnsi="Arial" w:cs="Arial"/>
                  <w:color w:val="0000FF"/>
                  <w:sz w:val="17"/>
                </w:rPr>
                <w:t>IASPdesk@iasp-pain.org</w:t>
              </w:r>
            </w:hyperlink>
            <w:r w:rsidRPr="00F639FA">
              <w:rPr>
                <w:rFonts w:ascii="Arial" w:eastAsia="Times New Roman" w:hAnsi="Arial" w:cs="Arial"/>
                <w:sz w:val="17"/>
                <w:szCs w:val="17"/>
              </w:rPr>
              <w:br/>
            </w:r>
            <w:hyperlink r:id="rId32" w:tgtFrame="_blank" w:history="1">
              <w:r w:rsidRPr="00F639FA">
                <w:rPr>
                  <w:rFonts w:ascii="Arial" w:eastAsia="Times New Roman" w:hAnsi="Arial" w:cs="Arial"/>
                  <w:color w:val="0000FF"/>
                  <w:sz w:val="17"/>
                </w:rPr>
                <w:t>http://www.iasp-pain.org</w:t>
              </w:r>
            </w:hyperlink>
          </w:p>
        </w:tc>
      </w:tr>
    </w:tbl>
    <w:p w:rsidR="00C52534" w:rsidRDefault="00C52534"/>
    <w:sectPr w:rsidR="00C52534" w:rsidSect="00C5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639FA"/>
    <w:rsid w:val="00C52534"/>
    <w:rsid w:val="00F6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9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39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3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listpilot.net/c/iasp/8u837rh/4z4az" TargetMode="External"/><Relationship Id="rId13" Type="http://schemas.openxmlformats.org/officeDocument/2006/relationships/hyperlink" Target="http://r.listpilot.net/c/iasp/8u837rh/4z4f4" TargetMode="External"/><Relationship Id="rId18" Type="http://schemas.openxmlformats.org/officeDocument/2006/relationships/hyperlink" Target="http://r.listpilot.net/c/iasp/8u837rh/4z4k9" TargetMode="External"/><Relationship Id="rId26" Type="http://schemas.openxmlformats.org/officeDocument/2006/relationships/hyperlink" Target="http://r.listpilot.net/c/iasp/8u837rh/4z4s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.listpilot.net/c/iasp/8u837rh/4z4n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.listpilot.net/c/iasp/8u837rh/4z49v" TargetMode="External"/><Relationship Id="rId12" Type="http://schemas.openxmlformats.org/officeDocument/2006/relationships/hyperlink" Target="http://r.listpilot.net/c/iasp/8u837rh/4z4e3" TargetMode="External"/><Relationship Id="rId17" Type="http://schemas.openxmlformats.org/officeDocument/2006/relationships/hyperlink" Target="http://r.listpilot.net/c/iasp/8u837rh/4z4j8" TargetMode="External"/><Relationship Id="rId25" Type="http://schemas.openxmlformats.org/officeDocument/2006/relationships/hyperlink" Target="http://r.listpilot.net/c/iasp/8u837rh/4z4r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.listpilot.net/c/iasp/8u837rh/4z4i7" TargetMode="External"/><Relationship Id="rId20" Type="http://schemas.openxmlformats.org/officeDocument/2006/relationships/hyperlink" Target="http://r.listpilot.net/c/iasp/8u837rh/4z4mb" TargetMode="External"/><Relationship Id="rId29" Type="http://schemas.openxmlformats.org/officeDocument/2006/relationships/hyperlink" Target="tel:%2B1.202.524.5300" TargetMode="External"/><Relationship Id="rId1" Type="http://schemas.openxmlformats.org/officeDocument/2006/relationships/styles" Target="styles.xml"/><Relationship Id="rId6" Type="http://schemas.openxmlformats.org/officeDocument/2006/relationships/hyperlink" Target="http://r.listpilot.net/c/iasp/8u837rh/1ysgs" TargetMode="External"/><Relationship Id="rId11" Type="http://schemas.openxmlformats.org/officeDocument/2006/relationships/hyperlink" Target="http://r.listpilot.net/c/iasp/8u837rh/4z4d2" TargetMode="External"/><Relationship Id="rId24" Type="http://schemas.openxmlformats.org/officeDocument/2006/relationships/hyperlink" Target="http://r.listpilot.net/c/iasp/8u837rh/4z4qf" TargetMode="External"/><Relationship Id="rId32" Type="http://schemas.openxmlformats.org/officeDocument/2006/relationships/hyperlink" Target="http://www.iasp-pain.org" TargetMode="External"/><Relationship Id="rId5" Type="http://schemas.openxmlformats.org/officeDocument/2006/relationships/hyperlink" Target="http://r.listpilot.net/c/iasp/8u837rh/1ysgs" TargetMode="External"/><Relationship Id="rId15" Type="http://schemas.openxmlformats.org/officeDocument/2006/relationships/hyperlink" Target="http://r.listpilot.net/c/iasp/8u837rh/4z4h6" TargetMode="External"/><Relationship Id="rId23" Type="http://schemas.openxmlformats.org/officeDocument/2006/relationships/hyperlink" Target="http://r.listpilot.net/c/iasp/8u837rh/4z4pe" TargetMode="External"/><Relationship Id="rId28" Type="http://schemas.openxmlformats.org/officeDocument/2006/relationships/hyperlink" Target="http://r.listpilot.net/c/iasp/8u837rh/4z4uj" TargetMode="External"/><Relationship Id="rId10" Type="http://schemas.openxmlformats.org/officeDocument/2006/relationships/hyperlink" Target="http://r.listpilot.net/c/iasp/8u837rh/4z4c1" TargetMode="External"/><Relationship Id="rId19" Type="http://schemas.openxmlformats.org/officeDocument/2006/relationships/hyperlink" Target="http://r.listpilot.net/c/iasp/8u837rh/4z4la" TargetMode="External"/><Relationship Id="rId31" Type="http://schemas.openxmlformats.org/officeDocument/2006/relationships/hyperlink" Target="mailto:IASPdesk@iasp-pain.org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r.listpilot.net/c/iasp/8u837rh/4z4b0" TargetMode="External"/><Relationship Id="rId14" Type="http://schemas.openxmlformats.org/officeDocument/2006/relationships/hyperlink" Target="http://r.listpilot.net/c/iasp/8u837rh/4z4g5" TargetMode="External"/><Relationship Id="rId22" Type="http://schemas.openxmlformats.org/officeDocument/2006/relationships/hyperlink" Target="http://r.listpilot.net/c/iasp/8u837rh/4z4od" TargetMode="External"/><Relationship Id="rId27" Type="http://schemas.openxmlformats.org/officeDocument/2006/relationships/hyperlink" Target="http://r.listpilot.net/c/iasp/8u837rh/4z4ti" TargetMode="External"/><Relationship Id="rId30" Type="http://schemas.openxmlformats.org/officeDocument/2006/relationships/hyperlink" Target="tel:%2B1.202.524.5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7649</Characters>
  <Application>Microsoft Office Word</Application>
  <DocSecurity>0</DocSecurity>
  <Lines>63</Lines>
  <Paragraphs>17</Paragraphs>
  <ScaleCrop>false</ScaleCrop>
  <Company>HOME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SHARIFI</dc:creator>
  <cp:keywords/>
  <dc:description/>
  <cp:lastModifiedBy>SHARIFI</cp:lastModifiedBy>
  <cp:revision>2</cp:revision>
  <dcterms:created xsi:type="dcterms:W3CDTF">2014-02-12T06:04:00Z</dcterms:created>
  <dcterms:modified xsi:type="dcterms:W3CDTF">2014-02-12T06:06:00Z</dcterms:modified>
</cp:coreProperties>
</file>